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滁州市生态环境局行政权利中介服务清单（202</w:t>
      </w:r>
      <w:r>
        <w:rPr>
          <w:rFonts w:hint="eastAsia" w:ascii="方正小标宋简体" w:eastAsia="方正小标宋简体"/>
          <w:color w:val="auto"/>
          <w:sz w:val="44"/>
          <w:szCs w:val="44"/>
          <w:lang w:val="en-US" w:eastAsia="zh-CN"/>
        </w:rPr>
        <w:t>2</w:t>
      </w:r>
      <w:r>
        <w:rPr>
          <w:rFonts w:hint="eastAsia" w:ascii="方正小标宋简体" w:eastAsia="方正小标宋简体"/>
          <w:color w:val="auto"/>
          <w:sz w:val="44"/>
          <w:szCs w:val="44"/>
        </w:rPr>
        <w:t>年本）</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eastAsia="方正小标宋简体"/>
          <w:color w:val="auto"/>
          <w:sz w:val="32"/>
          <w:szCs w:val="32"/>
        </w:rPr>
      </w:pPr>
      <w:r>
        <w:rPr>
          <w:rFonts w:hint="eastAsia" w:ascii="方正小标宋简体" w:eastAsia="方正小标宋简体"/>
          <w:color w:val="auto"/>
          <w:sz w:val="32"/>
          <w:szCs w:val="32"/>
        </w:rPr>
        <w:t>滁州</w:t>
      </w:r>
      <w:r>
        <w:rPr>
          <w:rFonts w:hint="eastAsia" w:ascii="方正小标宋简体" w:eastAsia="方正小标宋简体"/>
          <w:color w:val="auto"/>
          <w:sz w:val="32"/>
          <w:szCs w:val="32"/>
          <w:lang w:eastAsia="zh-CN"/>
        </w:rPr>
        <w:t>市生态环境局</w:t>
      </w:r>
      <w:r>
        <w:rPr>
          <w:rFonts w:hint="eastAsia" w:ascii="方正小标宋简体" w:eastAsia="方正小标宋简体"/>
          <w:color w:val="auto"/>
          <w:sz w:val="32"/>
          <w:szCs w:val="32"/>
        </w:rPr>
        <w:t>行政权力中介服务规范(下放）事项清单</w:t>
      </w:r>
      <w:bookmarkStart w:id="0" w:name="_GoBack"/>
      <w:bookmarkEnd w:id="0"/>
    </w:p>
    <w:tbl>
      <w:tblPr>
        <w:tblStyle w:val="3"/>
        <w:tblW w:w="15593" w:type="dxa"/>
        <w:jc w:val="center"/>
        <w:tblInd w:w="0" w:type="dxa"/>
        <w:tblLayout w:type="fixed"/>
        <w:tblCellMar>
          <w:top w:w="15" w:type="dxa"/>
          <w:left w:w="108" w:type="dxa"/>
          <w:bottom w:w="15" w:type="dxa"/>
          <w:right w:w="108" w:type="dxa"/>
        </w:tblCellMar>
      </w:tblPr>
      <w:tblGrid>
        <w:gridCol w:w="711"/>
        <w:gridCol w:w="2133"/>
        <w:gridCol w:w="6294"/>
        <w:gridCol w:w="1634"/>
        <w:gridCol w:w="3586"/>
        <w:gridCol w:w="1235"/>
      </w:tblGrid>
      <w:tr>
        <w:tblPrEx>
          <w:tblLayout w:type="fixed"/>
          <w:tblCellMar>
            <w:top w:w="15" w:type="dxa"/>
            <w:left w:w="108" w:type="dxa"/>
            <w:bottom w:w="15" w:type="dxa"/>
            <w:right w:w="108" w:type="dxa"/>
          </w:tblCellMar>
        </w:tblPrEx>
        <w:trPr>
          <w:cantSplit/>
          <w:trHeight w:val="680" w:hRule="exact"/>
          <w:tblHeader/>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auto"/>
                <w:kern w:val="0"/>
                <w:sz w:val="22"/>
                <w:szCs w:val="22"/>
              </w:rPr>
            </w:pPr>
            <w:r>
              <w:rPr>
                <w:rFonts w:hint="eastAsia" w:ascii="黑体" w:hAnsi="宋体" w:eastAsia="黑体" w:cs="宋体"/>
                <w:color w:val="auto"/>
                <w:kern w:val="0"/>
                <w:sz w:val="22"/>
                <w:szCs w:val="22"/>
              </w:rPr>
              <w:t>序号</w:t>
            </w: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auto"/>
                <w:kern w:val="0"/>
                <w:sz w:val="22"/>
                <w:szCs w:val="22"/>
              </w:rPr>
            </w:pPr>
            <w:r>
              <w:rPr>
                <w:rFonts w:hint="eastAsia" w:ascii="黑体" w:hAnsi="宋体" w:eastAsia="黑体" w:cs="宋体"/>
                <w:color w:val="auto"/>
                <w:kern w:val="0"/>
                <w:sz w:val="22"/>
                <w:szCs w:val="22"/>
              </w:rPr>
              <w:t>事项名称</w:t>
            </w:r>
          </w:p>
        </w:tc>
        <w:tc>
          <w:tcPr>
            <w:tcW w:w="62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auto"/>
                <w:kern w:val="0"/>
                <w:sz w:val="22"/>
                <w:szCs w:val="22"/>
              </w:rPr>
            </w:pPr>
            <w:r>
              <w:rPr>
                <w:rFonts w:hint="eastAsia" w:ascii="黑体" w:hAnsi="宋体" w:eastAsia="黑体" w:cs="宋体"/>
                <w:color w:val="auto"/>
                <w:kern w:val="0"/>
                <w:sz w:val="22"/>
                <w:szCs w:val="22"/>
              </w:rPr>
              <w:t>设定依据</w:t>
            </w:r>
          </w:p>
        </w:tc>
        <w:tc>
          <w:tcPr>
            <w:tcW w:w="16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auto"/>
                <w:kern w:val="0"/>
                <w:sz w:val="22"/>
                <w:szCs w:val="22"/>
              </w:rPr>
            </w:pPr>
            <w:r>
              <w:rPr>
                <w:rFonts w:hint="eastAsia" w:ascii="黑体" w:hAnsi="宋体" w:eastAsia="黑体" w:cs="宋体"/>
                <w:color w:val="auto"/>
                <w:kern w:val="0"/>
                <w:sz w:val="22"/>
                <w:szCs w:val="22"/>
              </w:rPr>
              <w:t>对应行政权力名称及项目编码</w:t>
            </w:r>
          </w:p>
        </w:tc>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auto"/>
                <w:kern w:val="0"/>
                <w:sz w:val="22"/>
                <w:szCs w:val="22"/>
              </w:rPr>
            </w:pPr>
            <w:r>
              <w:rPr>
                <w:rFonts w:hint="eastAsia" w:ascii="黑体" w:hAnsi="宋体" w:eastAsia="黑体" w:cs="宋体"/>
                <w:color w:val="auto"/>
                <w:kern w:val="0"/>
                <w:sz w:val="22"/>
                <w:szCs w:val="22"/>
              </w:rPr>
              <w:t>处理意见及理由</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auto"/>
                <w:kern w:val="0"/>
                <w:sz w:val="22"/>
                <w:szCs w:val="22"/>
              </w:rPr>
            </w:pPr>
            <w:r>
              <w:rPr>
                <w:rFonts w:hint="eastAsia" w:ascii="黑体" w:hAnsi="宋体" w:eastAsia="黑体" w:cs="宋体"/>
                <w:color w:val="auto"/>
                <w:kern w:val="0"/>
                <w:sz w:val="22"/>
                <w:szCs w:val="22"/>
              </w:rPr>
              <w:t>备注</w:t>
            </w:r>
          </w:p>
        </w:tc>
      </w:tr>
      <w:tr>
        <w:tblPrEx>
          <w:tblLayout w:type="fixed"/>
          <w:tblCellMar>
            <w:top w:w="15" w:type="dxa"/>
            <w:left w:w="108" w:type="dxa"/>
            <w:bottom w:w="15" w:type="dxa"/>
            <w:right w:w="108" w:type="dxa"/>
          </w:tblCellMar>
        </w:tblPrEx>
        <w:trPr>
          <w:cantSplit/>
          <w:trHeight w:val="3696"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2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编制重点企业清洁生产审核报告</w:t>
            </w:r>
          </w:p>
        </w:tc>
        <w:tc>
          <w:tcPr>
            <w:tcW w:w="6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1.《中华人民共和国清洁生产促进法》第二十七条 ……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实施清洁生产审核的具体办法，由国务院清洁生产综合协调部门、环境保护部门会同国务院有关部门制定。</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2.《清洁生产审核办法》第二章　清洁生产审核范围 第七条　国家鼓励企业自愿开展清洁生产审核。本办法第八条规定以外的企业，可以自愿组织实施清洁生产审核。</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第八条　有下列情形之一的企业，应当实施强制性清洁生产审核：</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（一）污染物排放超过国家或者地方规定的排放标准，或者虽未超过国家或者地方规定的排放标准，但超过重点污染物排放总量控制指标的；</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（二）超过单位产品能源消耗限额标准构成高耗能的；</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（三）使用有毒有害原料进行生产或者在生产中排放有毒有害物质的。</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其中有毒有害原料或物质包括以下几类：</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第一类，危险废物。包括列入《国家危险废物名录》的危险废物，以及根据国家规定的危险废物鉴别标准和鉴别方法认定的具有危险特性的废物。</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第二类，剧毒化学品、列入《重点环境管理危险化学品目录》的化学品，以及含有上述化学品的物质。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第三类，含有铅、汞、镉、铬等重金属和类金属砷的物质。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第四类，《关于持久性有机污染物的斯德哥尔摩公约》附件所列物质。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第五类，其他具有毒性、可能污染环境的物质。</w:t>
            </w:r>
          </w:p>
        </w:tc>
        <w:tc>
          <w:tcPr>
            <w:tcW w:w="1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企业清洁生产审核评估验收</w:t>
            </w:r>
          </w:p>
        </w:tc>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规范 。申请人可按要求自行独立组织开展清洁生产审核，也可委托有关机构审核，审批部门不得以任何形式要求企业必须委托特定中介机构提供服务。</w:t>
            </w:r>
            <w:r>
              <w:rPr>
                <w:rFonts w:hint="eastAsia" w:ascii="宋体" w:hAnsi="宋体" w:cs="宋体"/>
                <w:color w:val="auto"/>
                <w:kern w:val="0"/>
                <w:sz w:val="20"/>
                <w:szCs w:val="20"/>
              </w:rPr>
              <w:br w:type="textWrapping"/>
            </w:r>
            <w:r>
              <w:rPr>
                <w:rFonts w:hint="eastAsia" w:ascii="宋体" w:hAnsi="宋体" w:cs="宋体"/>
                <w:color w:val="auto"/>
                <w:kern w:val="0"/>
                <w:sz w:val="20"/>
                <w:szCs w:val="20"/>
              </w:rPr>
              <w:t xml:space="preserve">理由：《清洁生产审核办法》第十五条：清洁生产审核以企业自行组织开展为主。实施强制性清洁生产审核的企业，如果自行独立组织开展清洁生产审核，应具备本办法第十六条第（二）款、第（三）款的条件。 不具备独立开展清洁生产审核能力的企业，可以聘请外部专家或委托具备相应能力的咨询服务机构协助开展清洁生产审核。 </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可能涉密</w:t>
            </w:r>
          </w:p>
        </w:tc>
      </w:tr>
      <w:tr>
        <w:tblPrEx>
          <w:tblLayout w:type="fixed"/>
          <w:tblCellMar>
            <w:top w:w="15" w:type="dxa"/>
            <w:left w:w="108" w:type="dxa"/>
            <w:bottom w:w="15" w:type="dxa"/>
            <w:right w:w="108" w:type="dxa"/>
          </w:tblCellMar>
        </w:tblPrEx>
        <w:trPr>
          <w:cantSplit/>
          <w:trHeight w:val="3696"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w:t>
            </w:r>
          </w:p>
        </w:tc>
        <w:tc>
          <w:tcPr>
            <w:tcW w:w="2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辐射工作场所监测、个人剂量监测</w:t>
            </w:r>
          </w:p>
        </w:tc>
        <w:tc>
          <w:tcPr>
            <w:tcW w:w="6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1.《放射性同位素与射线装置安全许可管理办法》（环境保护部令 第3号）第二十四条：许可证有效期为5年。有效期届满，需要延续的，应当于许可证有效期届满30日前向原发证机关提出延续申请，并提供下列材料：（二）监测报告。</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2.《放射性同位素与射线装置安全和防护管理办法》（环境保护部令 第18号）第九条：生产、销售、使用放射性同位素与射线装置的单位，应当按照国家环境监测规范，对相关场所进行辐射监测，并对监测数据的真实性、可靠性负责;不具备自行监测能力的，可以委托经省级人民政府环境保护主管部门认定的环境监测机构进行监测。</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第十二条：生产、销售、使用放射性同位素与射线装置的单位，应当对本单位的放射性同位素与射线装置的安全和防护状况进行年度评估，并于每年1月31日前向发证机关提交上一年度的评估报告。安全和防护状况年度评估报告应当包括下列内容：（五）场所辐射环境监测和个人剂量监测情况及监测数据。</w:t>
            </w:r>
          </w:p>
        </w:tc>
        <w:tc>
          <w:tcPr>
            <w:tcW w:w="1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rPr>
              <w:t xml:space="preserve"> </w:t>
            </w:r>
            <w:r>
              <w:rPr>
                <w:rFonts w:hint="eastAsia" w:ascii="宋体" w:hAnsi="宋体" w:cs="宋体"/>
                <w:color w:val="auto"/>
                <w:kern w:val="0"/>
                <w:sz w:val="20"/>
                <w:szCs w:val="20"/>
                <w:lang w:eastAsia="zh-CN"/>
              </w:rPr>
              <w:t>辐射安全许可</w:t>
            </w:r>
          </w:p>
        </w:tc>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br w:type="textWrapping"/>
            </w:r>
            <w:r>
              <w:rPr>
                <w:rFonts w:hint="eastAsia" w:ascii="宋体" w:hAnsi="宋体" w:cs="宋体"/>
                <w:color w:val="auto"/>
                <w:kern w:val="0"/>
                <w:sz w:val="20"/>
                <w:szCs w:val="20"/>
              </w:rPr>
              <w:t>规范。</w:t>
            </w:r>
            <w:r>
              <w:rPr>
                <w:rFonts w:hint="eastAsia" w:ascii="宋体" w:hAnsi="宋体" w:cs="宋体"/>
                <w:color w:val="auto"/>
                <w:kern w:val="0"/>
                <w:sz w:val="20"/>
                <w:szCs w:val="20"/>
                <w:lang w:eastAsia="zh-CN"/>
              </w:rPr>
              <w:t>申请人</w:t>
            </w:r>
            <w:r>
              <w:rPr>
                <w:rFonts w:hint="eastAsia" w:ascii="宋体" w:hAnsi="宋体" w:cs="宋体"/>
                <w:color w:val="auto"/>
                <w:kern w:val="0"/>
                <w:sz w:val="20"/>
                <w:szCs w:val="20"/>
              </w:rPr>
              <w:t>可按要求自行对相关场所进行辐射监测，也可委托经省级人民政府环境保护主管部门认定的环境监测机构进行监测，</w:t>
            </w:r>
            <w:r>
              <w:rPr>
                <w:rFonts w:hint="eastAsia" w:ascii="宋体" w:hAnsi="宋体" w:cs="宋体"/>
                <w:color w:val="auto"/>
                <w:kern w:val="0"/>
                <w:sz w:val="20"/>
                <w:szCs w:val="20"/>
                <w:lang w:eastAsia="zh-CN"/>
              </w:rPr>
              <w:t>审批</w:t>
            </w:r>
            <w:r>
              <w:rPr>
                <w:rFonts w:hint="eastAsia" w:ascii="宋体" w:hAnsi="宋体" w:cs="宋体"/>
                <w:color w:val="auto"/>
                <w:kern w:val="0"/>
                <w:sz w:val="20"/>
                <w:szCs w:val="20"/>
              </w:rPr>
              <w:t>部门不得以任何形式要求企业必须委托特定中介机构提供服务。</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理由：《放射性同位素与射线装置安全和防护管理办法》第九条：生产、销售、使用放射性同位素与射线装置的单位，应当按照国家环境监测规范，对相关场所进行辐射监测，并对监测数据的真实性、可靠性负责;不具备自行监测能力的，可以委托经省级人民政府环境保护主管部门认定的环境监测机构进行监测。</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事业单位基本不再开展此项业务</w:t>
            </w:r>
          </w:p>
        </w:tc>
      </w:tr>
      <w:tr>
        <w:tblPrEx>
          <w:tblLayout w:type="fixed"/>
          <w:tblCellMar>
            <w:top w:w="15" w:type="dxa"/>
            <w:left w:w="108" w:type="dxa"/>
            <w:bottom w:w="15" w:type="dxa"/>
            <w:right w:w="108" w:type="dxa"/>
          </w:tblCellMar>
        </w:tblPrEx>
        <w:trPr>
          <w:cantSplit/>
          <w:trHeight w:val="3696"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3</w:t>
            </w:r>
          </w:p>
        </w:tc>
        <w:tc>
          <w:tcPr>
            <w:tcW w:w="2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cs="宋体"/>
                <w:color w:val="auto"/>
                <w:kern w:val="0"/>
                <w:sz w:val="20"/>
                <w:szCs w:val="20"/>
              </w:rPr>
            </w:pPr>
            <w:r>
              <w:rPr>
                <w:rFonts w:hint="eastAsia" w:ascii="宋体" w:hAnsi="宋体" w:cs="宋体"/>
                <w:color w:val="auto"/>
                <w:kern w:val="0"/>
                <w:sz w:val="20"/>
                <w:szCs w:val="20"/>
              </w:rPr>
              <w:t>入河排污口设置论证</w:t>
            </w:r>
          </w:p>
        </w:tc>
        <w:tc>
          <w:tcPr>
            <w:tcW w:w="6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cs="宋体"/>
                <w:color w:val="auto"/>
                <w:kern w:val="0"/>
                <w:sz w:val="20"/>
                <w:szCs w:val="20"/>
              </w:rPr>
            </w:pPr>
            <w:r>
              <w:rPr>
                <w:rFonts w:hint="eastAsia" w:ascii="宋体" w:hAnsi="宋体" w:cs="宋体"/>
                <w:color w:val="auto"/>
                <w:kern w:val="0"/>
                <w:sz w:val="20"/>
                <w:szCs w:val="20"/>
              </w:rPr>
              <w:t>1.《中华人民共和国水法》第六十七条第二款：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r>
              <w:rPr>
                <w:rFonts w:hint="eastAsia" w:ascii="宋体" w:hAnsi="宋体" w:cs="宋体"/>
                <w:color w:val="auto"/>
                <w:kern w:val="0"/>
                <w:sz w:val="20"/>
                <w:szCs w:val="20"/>
              </w:rPr>
              <w:br w:type="textWrapping"/>
            </w:r>
            <w:r>
              <w:rPr>
                <w:rFonts w:hint="eastAsia" w:ascii="宋体" w:hAnsi="宋体" w:cs="宋体"/>
                <w:color w:val="FF0000"/>
                <w:kern w:val="0"/>
                <w:sz w:val="20"/>
                <w:szCs w:val="20"/>
              </w:rPr>
              <w:t>2.《中华人民共和国水污染防治法》第二十二条 向水体排放污染物的企业事业单位和其他生产经营者，应当按照法律、行政法规和国务院环境保护主管部门的规定设置排污口；在江河、湖泊设置排污口的，还应当遵守国务院水行政主管部门的规定。</w:t>
            </w:r>
            <w:r>
              <w:rPr>
                <w:rFonts w:hint="eastAsia" w:ascii="宋体" w:hAnsi="宋体" w:cs="宋体"/>
                <w:color w:val="auto"/>
                <w:kern w:val="0"/>
                <w:sz w:val="20"/>
                <w:szCs w:val="20"/>
              </w:rPr>
              <w:br w:type="textWrapping"/>
            </w:r>
            <w:r>
              <w:rPr>
                <w:rFonts w:hint="eastAsia" w:ascii="宋体" w:hAnsi="宋体" w:cs="宋体"/>
                <w:color w:val="auto"/>
                <w:kern w:val="0"/>
                <w:sz w:val="20"/>
                <w:szCs w:val="20"/>
              </w:rPr>
              <w:t>3.《入河排污口监督管理办法》（水利部令第22号）第七条：设置入河排污口应当提交以下材料：（一）入河排污口设置申请书；（二）建设项目依据文件；（三）入河排污口设置论证报告；（四）其他应当提交的有关文件。设置入河排污口对水功能区影响明显轻微的，经有管辖权的县级以上地方人民政府水行政主管部门或者流域管理机构同意，可以不编制入河排污口设置论证报告，只提交设置入河排污口对水功能区影响的简要分析材料。第十条：排污单位应当按照有关技术要求，自行或者委托有关单位编制入河排污口设置论证报告。</w:t>
            </w:r>
          </w:p>
        </w:tc>
        <w:tc>
          <w:tcPr>
            <w:tcW w:w="1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eastAsia="zh-CN"/>
              </w:rPr>
              <w:t>在江河湖泊新建、改建、扩建排污口审批</w:t>
            </w:r>
          </w:p>
        </w:tc>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规范。</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申请人可按要求自行编制入河排污口设置论证报告，也可委托有关机构编制，审批部门不得以任何形式要求申请人必须委托特定中介机构提供服务；保留审批部门现有的排污口设置论证报告技术评估、评审。</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主要理由：根据《滁州市人民政府关于贯彻落实第一批清理规范行政审批中介服务事项的通知》（滁政〔2016〕95号）附件目录第25项。</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auto"/>
                <w:kern w:val="0"/>
                <w:sz w:val="20"/>
                <w:szCs w:val="20"/>
              </w:rPr>
            </w:pPr>
          </w:p>
        </w:tc>
      </w:tr>
      <w:tr>
        <w:tblPrEx>
          <w:tblLayout w:type="fixed"/>
          <w:tblCellMar>
            <w:top w:w="15" w:type="dxa"/>
            <w:left w:w="108" w:type="dxa"/>
            <w:bottom w:w="15" w:type="dxa"/>
            <w:right w:w="108" w:type="dxa"/>
          </w:tblCellMar>
        </w:tblPrEx>
        <w:trPr>
          <w:cantSplit/>
          <w:trHeight w:val="3696"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4</w:t>
            </w:r>
          </w:p>
        </w:tc>
        <w:tc>
          <w:tcPr>
            <w:tcW w:w="2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both"/>
              <w:rPr>
                <w:rFonts w:hint="eastAsia" w:ascii="宋体" w:hAnsi="宋体" w:cs="宋体"/>
                <w:color w:val="auto"/>
                <w:kern w:val="0"/>
                <w:sz w:val="20"/>
                <w:szCs w:val="20"/>
              </w:rPr>
            </w:pPr>
            <w:r>
              <w:rPr>
                <w:rFonts w:hint="eastAsia" w:ascii="Times New Roman" w:hAnsi="Times New Roman" w:eastAsia="宋体" w:cs="宋体"/>
                <w:color w:val="000000"/>
                <w:kern w:val="0"/>
                <w:sz w:val="21"/>
                <w:szCs w:val="21"/>
              </w:rPr>
              <w:t>建设项目环境影响报告书（表）编制</w:t>
            </w:r>
          </w:p>
        </w:tc>
        <w:tc>
          <w:tcPr>
            <w:tcW w:w="6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1.《中华人民共和国环境保护法》第十九条：编制有关开发利用规划，建设对环境有影响的项目，应当依法进行环境影响评价。</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 xml:space="preserve">2.《中华人民共和国环境影响评价法》第十九条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                  </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cs="宋体"/>
                <w:color w:val="auto"/>
                <w:kern w:val="0"/>
                <w:sz w:val="20"/>
                <w:szCs w:val="20"/>
              </w:rPr>
            </w:pPr>
            <w:r>
              <w:rPr>
                <w:rFonts w:hint="eastAsia" w:ascii="Times New Roman" w:hAnsi="Times New Roman" w:eastAsia="宋体" w:cs="宋体"/>
                <w:color w:val="000000"/>
                <w:kern w:val="0"/>
                <w:sz w:val="21"/>
                <w:szCs w:val="21"/>
              </w:rPr>
              <w:t>3.《建设项目环境保护管理条例》第七条　国家根据建设项目对环境的影响程度，按照下列规定对建设项目的环境保护实行分类管理：</w:t>
            </w:r>
            <w:r>
              <w:rPr>
                <w:rFonts w:hint="eastAsia" w:ascii="Times New Roman" w:hAnsi="Times New Roman" w:eastAsia="宋体" w:cs="宋体"/>
                <w:color w:val="000000"/>
                <w:kern w:val="0"/>
                <w:sz w:val="21"/>
                <w:szCs w:val="21"/>
              </w:rPr>
              <w:br w:type="textWrapping"/>
            </w:r>
            <w:r>
              <w:rPr>
                <w:rFonts w:hint="eastAsia" w:ascii="Times New Roman" w:hAnsi="Times New Roman" w:eastAsia="宋体" w:cs="宋体"/>
                <w:color w:val="000000"/>
                <w:kern w:val="0"/>
                <w:sz w:val="21"/>
                <w:szCs w:val="21"/>
              </w:rPr>
              <w:t>（一）建设项目对环境可能造成重大影响的，应当编制环境影响报告书，对建设项目产生的污染和对环境的影响进行全面、详细的评价；</w:t>
            </w:r>
            <w:r>
              <w:rPr>
                <w:rFonts w:hint="eastAsia" w:ascii="Times New Roman" w:hAnsi="Times New Roman" w:eastAsia="宋体" w:cs="宋体"/>
                <w:color w:val="000000"/>
                <w:kern w:val="0"/>
                <w:sz w:val="21"/>
                <w:szCs w:val="21"/>
              </w:rPr>
              <w:br w:type="textWrapping"/>
            </w:r>
            <w:r>
              <w:rPr>
                <w:rFonts w:hint="eastAsia" w:ascii="Times New Roman" w:hAnsi="Times New Roman" w:eastAsia="宋体" w:cs="宋体"/>
                <w:color w:val="000000"/>
                <w:kern w:val="0"/>
                <w:sz w:val="21"/>
                <w:szCs w:val="21"/>
              </w:rPr>
              <w:t>（二）建设项目对环境可能造成轻度影响的，应当编制环境影响报告表，对建设项目产生的污染和对环境的影响进行分析或者专项评价；</w:t>
            </w:r>
            <w:r>
              <w:rPr>
                <w:rFonts w:hint="eastAsia" w:ascii="Times New Roman" w:hAnsi="Times New Roman" w:eastAsia="宋体" w:cs="宋体"/>
                <w:color w:val="000000"/>
                <w:kern w:val="0"/>
                <w:sz w:val="21"/>
                <w:szCs w:val="21"/>
              </w:rPr>
              <w:br w:type="textWrapping"/>
            </w:r>
            <w:r>
              <w:rPr>
                <w:rFonts w:hint="eastAsia" w:ascii="Times New Roman" w:hAnsi="Times New Roman" w:eastAsia="宋体" w:cs="宋体"/>
                <w:color w:val="000000"/>
                <w:kern w:val="0"/>
                <w:sz w:val="21"/>
                <w:szCs w:val="21"/>
              </w:rPr>
              <w:t xml:space="preserve">（三）建设项目对环境影响很小，不需要进行环境影响评价的，应当填报环境影响登记表。                                                        4.《中华人民共和国放射性污染防治法》第二十九条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                                                 </w:t>
            </w:r>
          </w:p>
        </w:tc>
        <w:tc>
          <w:tcPr>
            <w:tcW w:w="1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both"/>
              <w:rPr>
                <w:rFonts w:hint="eastAsia" w:ascii="宋体" w:hAnsi="宋体" w:cs="宋体"/>
                <w:color w:val="auto"/>
                <w:kern w:val="0"/>
                <w:sz w:val="20"/>
                <w:szCs w:val="20"/>
                <w:lang w:eastAsia="zh-CN"/>
              </w:rPr>
            </w:pPr>
            <w:r>
              <w:rPr>
                <w:rFonts w:hint="eastAsia" w:ascii="Times New Roman" w:hAnsi="Times New Roman" w:eastAsia="宋体" w:cs="宋体"/>
                <w:color w:val="000000"/>
                <w:kern w:val="0"/>
                <w:sz w:val="21"/>
                <w:szCs w:val="21"/>
              </w:rPr>
              <w:t>建设项目环境影响报告书、报告表审批</w:t>
            </w:r>
          </w:p>
        </w:tc>
        <w:tc>
          <w:tcPr>
            <w:tcW w:w="358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宋体" w:hAnsi="宋体" w:cs="宋体"/>
                <w:color w:val="auto"/>
                <w:kern w:val="0"/>
                <w:sz w:val="20"/>
                <w:szCs w:val="20"/>
              </w:rPr>
            </w:pPr>
            <w:r>
              <w:rPr>
                <w:rFonts w:hint="eastAsia" w:ascii="Times New Roman" w:hAnsi="Times New Roman" w:eastAsia="宋体" w:cs="宋体"/>
                <w:color w:val="000000"/>
                <w:kern w:val="0"/>
                <w:sz w:val="21"/>
                <w:szCs w:val="21"/>
              </w:rPr>
              <w:t>规范</w:t>
            </w:r>
            <w:r>
              <w:rPr>
                <w:rFonts w:hint="eastAsia" w:cs="宋体"/>
                <w:color w:val="000000"/>
                <w:kern w:val="0"/>
                <w:sz w:val="21"/>
                <w:szCs w:val="21"/>
                <w:lang w:eastAsia="zh-CN"/>
              </w:rPr>
              <w:t>。</w:t>
            </w:r>
            <w:r>
              <w:rPr>
                <w:rFonts w:hint="eastAsia" w:ascii="Times New Roman" w:hAnsi="Times New Roman" w:eastAsia="宋体" w:cs="宋体"/>
                <w:color w:val="000000"/>
                <w:kern w:val="0"/>
                <w:sz w:val="21"/>
                <w:szCs w:val="21"/>
              </w:rPr>
              <w:t>根据《中华人民共和国环境影响评价法》第十九条，该事项由“保留事项”调整为“规范事项”，建设单位可以委托技术单位编制建设项目环境影响报告书、环境影响报告表，也可以自行编制。</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both"/>
              <w:rPr>
                <w:rFonts w:hint="eastAsia" w:ascii="宋体" w:hAnsi="宋体" w:cs="宋体"/>
                <w:color w:val="auto"/>
                <w:kern w:val="0"/>
                <w:sz w:val="20"/>
                <w:szCs w:val="20"/>
              </w:rPr>
            </w:pPr>
          </w:p>
        </w:tc>
      </w:tr>
    </w:tbl>
    <w:p/>
    <w:sectPr>
      <w:pgSz w:w="16838" w:h="11906" w:orient="landscape"/>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22CD9"/>
    <w:rsid w:val="052C6C85"/>
    <w:rsid w:val="07CF49E2"/>
    <w:rsid w:val="132C7CC4"/>
    <w:rsid w:val="14AD1D12"/>
    <w:rsid w:val="189A78DC"/>
    <w:rsid w:val="25B859FD"/>
    <w:rsid w:val="26DF5475"/>
    <w:rsid w:val="27F2462B"/>
    <w:rsid w:val="315770AC"/>
    <w:rsid w:val="3A950603"/>
    <w:rsid w:val="4CDF2E02"/>
    <w:rsid w:val="68221A39"/>
    <w:rsid w:val="6DC77E79"/>
    <w:rsid w:val="6E84066B"/>
    <w:rsid w:val="6ED52E4B"/>
    <w:rsid w:val="76C7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61"/>
    <w:basedOn w:val="2"/>
    <w:qFormat/>
    <w:uiPriority w:val="0"/>
    <w:rPr>
      <w:rFonts w:hint="eastAsia" w:ascii="宋体" w:hAnsi="宋体" w:eastAsia="宋体" w:cs="宋体"/>
      <w:color w:val="000000"/>
      <w:sz w:val="22"/>
      <w:szCs w:val="22"/>
      <w:u w:val="none"/>
    </w:rPr>
  </w:style>
  <w:style w:type="character" w:customStyle="1" w:styleId="5">
    <w:name w:val="font81"/>
    <w:basedOn w:val="2"/>
    <w:qFormat/>
    <w:uiPriority w:val="0"/>
    <w:rPr>
      <w:rFonts w:hint="default" w:ascii="Calibri" w:hAnsi="Calibri" w:cs="Calibri"/>
      <w:color w:val="000000"/>
      <w:sz w:val="22"/>
      <w:szCs w:val="22"/>
      <w:u w:val="none"/>
    </w:rPr>
  </w:style>
  <w:style w:type="character" w:customStyle="1" w:styleId="6">
    <w:name w:val="font21"/>
    <w:basedOn w:val="2"/>
    <w:qFormat/>
    <w:uiPriority w:val="0"/>
    <w:rPr>
      <w:rFonts w:hint="eastAsia" w:ascii="宋体" w:hAnsi="宋体" w:eastAsia="宋体" w:cs="宋体"/>
      <w:color w:val="000000"/>
      <w:sz w:val="20"/>
      <w:szCs w:val="20"/>
      <w:u w:val="none"/>
    </w:rPr>
  </w:style>
  <w:style w:type="character" w:customStyle="1" w:styleId="7">
    <w:name w:val="font31"/>
    <w:basedOn w:val="2"/>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2019-10-16T00:24:00Z</dcterms:created>
  <dc:creator>GJ</dc:creator>
  <cp:lastModifiedBy>陈俊</cp:lastModifiedBy>
  <dcterms:modified xsi:type="dcterms:W3CDTF">2022-05-24T09:40:00Z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877812A282C84ADCBA3DD671A090EF1C</vt:lpwstr>
  </property>
</Properties>
</file>