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年度市区饮用水水源保护生态补偿资金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（项目补偿部分）</w:t>
      </w:r>
      <w:r>
        <w:rPr>
          <w:rFonts w:hint="eastAsia" w:ascii="方正小标宋简体" w:eastAsia="方正小标宋简体"/>
          <w:sz w:val="44"/>
          <w:szCs w:val="44"/>
        </w:rPr>
        <w:t>分配方案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339"/>
        <w:gridCol w:w="1593"/>
        <w:gridCol w:w="2030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总投资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(万元)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黑体" w:eastAsia="黑体"/>
                <w:sz w:val="28"/>
                <w:szCs w:val="28"/>
              </w:rPr>
              <w:t>资金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(万元)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项目实施单位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城西水库保护区内西涧社区、太平村生活污水收集处理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50.2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西涧街道办事处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城西水库上游城西村生活污水收集处理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琅琊区农业农村局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城西水库北闸西侧重点区域生态恢复项目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50.9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城西水库管理处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沙河集水库购置巡查快艇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滁州市沙河集水库管理处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章广镇陆岗村杀虫灯安装项目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章广镇人民政府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黄栗树水库防护栏项目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全椒县水利局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376.1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巴小明</cp:lastModifiedBy>
  <dcterms:modified xsi:type="dcterms:W3CDTF">2020-04-28T03:18:24Z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